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FFC" w14:textId="77777777" w:rsidR="00CD5F8E" w:rsidRPr="005A0BEA" w:rsidRDefault="00DA46E4">
      <w:pPr>
        <w:tabs>
          <w:tab w:val="left" w:pos="5184"/>
          <w:tab w:val="left" w:pos="6552"/>
        </w:tabs>
        <w:spacing w:before="338" w:line="271" w:lineRule="exact"/>
        <w:ind w:left="72"/>
        <w:textAlignment w:val="baseline"/>
        <w:rPr>
          <w:rFonts w:eastAsia="Times New Roman"/>
          <w:color w:val="000000"/>
          <w:sz w:val="24"/>
          <w:szCs w:val="24"/>
        </w:rPr>
      </w:pPr>
      <w:r w:rsidRPr="005A0BEA">
        <w:rPr>
          <w:rFonts w:eastAsia="Times New Roman"/>
          <w:color w:val="000000"/>
          <w:sz w:val="24"/>
          <w:szCs w:val="24"/>
        </w:rPr>
        <w:t>DOCKET NO.: LLI-CV-21-5013836-S</w:t>
      </w:r>
      <w:r w:rsidRPr="005A0BEA">
        <w:rPr>
          <w:rFonts w:eastAsia="Times New Roman"/>
          <w:color w:val="000000"/>
          <w:sz w:val="24"/>
          <w:szCs w:val="24"/>
        </w:rPr>
        <w:tab/>
        <w:t>:</w:t>
      </w:r>
      <w:r w:rsidRPr="005A0BEA">
        <w:rPr>
          <w:rFonts w:eastAsia="Times New Roman"/>
          <w:color w:val="000000"/>
          <w:sz w:val="24"/>
          <w:szCs w:val="24"/>
        </w:rPr>
        <w:tab/>
        <w:t>SUPERIOR COURT</w:t>
      </w:r>
    </w:p>
    <w:p w14:paraId="17F50FFD" w14:textId="1E209680" w:rsidR="00CD5F8E" w:rsidRPr="005A0BEA" w:rsidRDefault="00DA46E4">
      <w:pPr>
        <w:tabs>
          <w:tab w:val="left" w:pos="5184"/>
          <w:tab w:val="left" w:pos="6552"/>
        </w:tabs>
        <w:spacing w:before="280" w:line="271" w:lineRule="exact"/>
        <w:ind w:left="72"/>
        <w:textAlignment w:val="baseline"/>
        <w:rPr>
          <w:rFonts w:eastAsia="Times New Roman"/>
          <w:color w:val="000000"/>
          <w:sz w:val="24"/>
          <w:szCs w:val="24"/>
        </w:rPr>
      </w:pPr>
      <w:r w:rsidRPr="005A0BEA">
        <w:rPr>
          <w:rFonts w:eastAsia="Times New Roman"/>
          <w:color w:val="000000"/>
          <w:sz w:val="24"/>
          <w:szCs w:val="24"/>
        </w:rPr>
        <w:t>ANTHONY MACCHIAROLI</w:t>
      </w:r>
      <w:r w:rsidRPr="005A0BEA">
        <w:rPr>
          <w:rFonts w:eastAsia="Times New Roman"/>
          <w:color w:val="000000"/>
          <w:sz w:val="24"/>
          <w:szCs w:val="24"/>
        </w:rPr>
        <w:tab/>
        <w:t>:</w:t>
      </w:r>
      <w:r w:rsidRPr="005A0BEA">
        <w:rPr>
          <w:rFonts w:eastAsia="Times New Roman"/>
          <w:color w:val="000000"/>
          <w:sz w:val="24"/>
          <w:szCs w:val="24"/>
        </w:rPr>
        <w:tab/>
        <w:t>J</w:t>
      </w:r>
      <w:r w:rsidR="000440B0">
        <w:rPr>
          <w:rFonts w:eastAsia="Times New Roman"/>
          <w:color w:val="000000"/>
          <w:sz w:val="24"/>
          <w:szCs w:val="24"/>
        </w:rPr>
        <w:t>.</w:t>
      </w:r>
      <w:r w:rsidRPr="005A0BEA">
        <w:rPr>
          <w:rFonts w:eastAsia="Times New Roman"/>
          <w:color w:val="000000"/>
          <w:sz w:val="24"/>
          <w:szCs w:val="24"/>
        </w:rPr>
        <w:t>D</w:t>
      </w:r>
      <w:r w:rsidR="000440B0">
        <w:rPr>
          <w:rFonts w:eastAsia="Times New Roman"/>
          <w:color w:val="000000"/>
          <w:sz w:val="24"/>
          <w:szCs w:val="24"/>
        </w:rPr>
        <w:t>.</w:t>
      </w:r>
      <w:r w:rsidRPr="005A0BEA">
        <w:rPr>
          <w:rFonts w:eastAsia="Times New Roman"/>
          <w:color w:val="000000"/>
          <w:sz w:val="24"/>
          <w:szCs w:val="24"/>
        </w:rPr>
        <w:t xml:space="preserve"> OF LITCHFIELD</w:t>
      </w:r>
    </w:p>
    <w:p w14:paraId="17F50FFE" w14:textId="77777777" w:rsidR="00CD5F8E" w:rsidRPr="005A0BEA" w:rsidRDefault="00DA46E4">
      <w:pPr>
        <w:tabs>
          <w:tab w:val="left" w:pos="5184"/>
          <w:tab w:val="left" w:pos="6552"/>
        </w:tabs>
        <w:spacing w:before="276" w:line="271" w:lineRule="exact"/>
        <w:ind w:left="72"/>
        <w:textAlignment w:val="baseline"/>
        <w:rPr>
          <w:rFonts w:eastAsia="Times New Roman"/>
          <w:color w:val="000000"/>
          <w:spacing w:val="1"/>
          <w:sz w:val="24"/>
          <w:szCs w:val="24"/>
        </w:rPr>
      </w:pPr>
      <w:r w:rsidRPr="005A0BEA">
        <w:rPr>
          <w:rFonts w:eastAsia="Times New Roman"/>
          <w:color w:val="000000"/>
          <w:spacing w:val="1"/>
          <w:sz w:val="24"/>
          <w:szCs w:val="24"/>
        </w:rPr>
        <w:t>v.</w:t>
      </w:r>
      <w:r w:rsidRPr="005A0BEA">
        <w:rPr>
          <w:rFonts w:eastAsia="Times New Roman"/>
          <w:color w:val="000000"/>
          <w:spacing w:val="1"/>
          <w:sz w:val="24"/>
          <w:szCs w:val="24"/>
        </w:rPr>
        <w:tab/>
        <w:t>:</w:t>
      </w:r>
      <w:r w:rsidRPr="005A0BEA">
        <w:rPr>
          <w:rFonts w:eastAsia="Times New Roman"/>
          <w:color w:val="000000"/>
          <w:spacing w:val="1"/>
          <w:sz w:val="24"/>
          <w:szCs w:val="24"/>
        </w:rPr>
        <w:tab/>
        <w:t>AT TORRINGTON</w:t>
      </w:r>
    </w:p>
    <w:p w14:paraId="17F50FFF" w14:textId="48C94AAA" w:rsidR="00CD5F8E" w:rsidRPr="005A0BEA" w:rsidRDefault="00DA46E4">
      <w:pPr>
        <w:tabs>
          <w:tab w:val="left" w:pos="5184"/>
          <w:tab w:val="left" w:pos="6552"/>
        </w:tabs>
        <w:spacing w:before="287" w:line="271" w:lineRule="exact"/>
        <w:ind w:left="72"/>
        <w:textAlignment w:val="baseline"/>
        <w:rPr>
          <w:rFonts w:eastAsia="Times New Roman"/>
          <w:color w:val="000000"/>
          <w:sz w:val="24"/>
          <w:szCs w:val="24"/>
        </w:rPr>
      </w:pPr>
      <w:r w:rsidRPr="005A0BEA">
        <w:rPr>
          <w:rFonts w:eastAsia="Times New Roman"/>
          <w:color w:val="000000"/>
          <w:sz w:val="24"/>
          <w:szCs w:val="24"/>
        </w:rPr>
        <w:t>GRECO, DAVID, ET AL.</w:t>
      </w:r>
      <w:r w:rsidRPr="005A0BEA">
        <w:rPr>
          <w:rFonts w:eastAsia="Times New Roman"/>
          <w:color w:val="000000"/>
          <w:sz w:val="24"/>
          <w:szCs w:val="24"/>
        </w:rPr>
        <w:tab/>
        <w:t>:</w:t>
      </w:r>
      <w:r w:rsidRPr="005A0BEA">
        <w:rPr>
          <w:rFonts w:eastAsia="Times New Roman"/>
          <w:color w:val="000000"/>
          <w:sz w:val="24"/>
          <w:szCs w:val="24"/>
        </w:rPr>
        <w:tab/>
      </w:r>
      <w:r w:rsidR="000440B0">
        <w:rPr>
          <w:rFonts w:eastAsia="Times New Roman"/>
          <w:color w:val="000000"/>
          <w:sz w:val="24"/>
          <w:szCs w:val="24"/>
        </w:rPr>
        <w:t xml:space="preserve">ARPIL </w:t>
      </w:r>
      <w:r w:rsidR="00601379" w:rsidRPr="005A0BEA">
        <w:rPr>
          <w:rFonts w:eastAsia="Times New Roman"/>
          <w:color w:val="000000"/>
          <w:sz w:val="24"/>
          <w:szCs w:val="24"/>
        </w:rPr>
        <w:t>___, 2024</w:t>
      </w:r>
    </w:p>
    <w:p w14:paraId="17F51000" w14:textId="758C9787" w:rsidR="00CD5F8E" w:rsidRPr="005A0BEA" w:rsidRDefault="00DA46E4">
      <w:pPr>
        <w:spacing w:before="566" w:line="271" w:lineRule="exact"/>
        <w:ind w:left="72"/>
        <w:jc w:val="center"/>
        <w:textAlignment w:val="baseline"/>
        <w:rPr>
          <w:rFonts w:eastAsia="Times New Roman"/>
          <w:b/>
          <w:color w:val="000000"/>
          <w:sz w:val="24"/>
          <w:szCs w:val="24"/>
          <w:u w:val="single"/>
        </w:rPr>
      </w:pPr>
      <w:r w:rsidRPr="005A0BEA">
        <w:rPr>
          <w:rFonts w:eastAsia="Times New Roman"/>
          <w:b/>
          <w:color w:val="000000"/>
          <w:sz w:val="24"/>
          <w:szCs w:val="24"/>
          <w:u w:val="single"/>
        </w:rPr>
        <w:t>PLAINTIFF’S DISCLOSURE OF EXPERT WITNESS</w:t>
      </w:r>
      <w:r w:rsidR="005A0BEA">
        <w:rPr>
          <w:rFonts w:eastAsia="Times New Roman"/>
          <w:b/>
          <w:color w:val="000000"/>
          <w:sz w:val="24"/>
          <w:szCs w:val="24"/>
          <w:u w:val="single"/>
        </w:rPr>
        <w:t xml:space="preserve"> – JOSEPH C. SANFILIPPO, ESQ.</w:t>
      </w:r>
      <w:r w:rsidRPr="005A0BEA">
        <w:rPr>
          <w:rFonts w:eastAsia="Times New Roman"/>
          <w:b/>
          <w:color w:val="000000"/>
          <w:sz w:val="24"/>
          <w:szCs w:val="24"/>
          <w:u w:val="single"/>
        </w:rPr>
        <w:t xml:space="preserve"> </w:t>
      </w:r>
    </w:p>
    <w:p w14:paraId="3AADC35A" w14:textId="2B25BD72" w:rsidR="00BB5C70" w:rsidRPr="005A0BEA" w:rsidRDefault="00BB5C70" w:rsidP="005A0BEA">
      <w:pPr>
        <w:spacing w:line="550" w:lineRule="exact"/>
        <w:ind w:firstLine="720"/>
        <w:textAlignment w:val="baseline"/>
        <w:rPr>
          <w:rFonts w:eastAsia="Arial"/>
          <w:color w:val="000000"/>
          <w:sz w:val="24"/>
          <w:szCs w:val="24"/>
        </w:rPr>
      </w:pPr>
      <w:r w:rsidRPr="005A0BEA">
        <w:rPr>
          <w:rFonts w:eastAsia="Arial"/>
          <w:color w:val="000000"/>
          <w:sz w:val="24"/>
          <w:szCs w:val="24"/>
        </w:rPr>
        <w:t xml:space="preserve">Pursuant to Practice Book §13-4, Plaintiff Anthony Macchiaroli hereby discloses the following </w:t>
      </w:r>
      <w:r w:rsidR="005D3E70" w:rsidRPr="005A0BEA">
        <w:rPr>
          <w:rFonts w:eastAsia="Arial"/>
          <w:color w:val="000000"/>
          <w:sz w:val="24"/>
          <w:szCs w:val="24"/>
        </w:rPr>
        <w:t xml:space="preserve">additional </w:t>
      </w:r>
      <w:r w:rsidRPr="005A0BEA">
        <w:rPr>
          <w:rFonts w:eastAsia="Arial"/>
          <w:color w:val="000000"/>
          <w:sz w:val="24"/>
          <w:szCs w:val="24"/>
        </w:rPr>
        <w:t xml:space="preserve">person </w:t>
      </w:r>
      <w:r w:rsidR="005D3E70" w:rsidRPr="005A0BEA">
        <w:rPr>
          <w:rFonts w:eastAsia="Arial"/>
          <w:color w:val="000000"/>
          <w:sz w:val="24"/>
          <w:szCs w:val="24"/>
        </w:rPr>
        <w:t>he</w:t>
      </w:r>
      <w:r w:rsidRPr="005A0BEA">
        <w:rPr>
          <w:rFonts w:eastAsia="Arial"/>
          <w:color w:val="000000"/>
          <w:sz w:val="24"/>
          <w:szCs w:val="24"/>
        </w:rPr>
        <w:t xml:space="preserve"> expects to call to testify as an expert at the trial of the above-captioned matter.</w:t>
      </w:r>
    </w:p>
    <w:p w14:paraId="7B000A29" w14:textId="77777777" w:rsidR="005D3E70" w:rsidRPr="005A0BEA" w:rsidRDefault="005D3E70" w:rsidP="005A0BEA">
      <w:pPr>
        <w:numPr>
          <w:ilvl w:val="0"/>
          <w:numId w:val="3"/>
        </w:numPr>
        <w:tabs>
          <w:tab w:val="clear" w:pos="360"/>
          <w:tab w:val="left" w:pos="1080"/>
        </w:tabs>
        <w:spacing w:before="284" w:line="272" w:lineRule="exact"/>
        <w:textAlignment w:val="baseline"/>
        <w:rPr>
          <w:rFonts w:eastAsia="Arial"/>
          <w:color w:val="000000"/>
          <w:sz w:val="24"/>
          <w:szCs w:val="24"/>
          <w:u w:val="single"/>
        </w:rPr>
      </w:pPr>
      <w:r w:rsidRPr="005A0BEA">
        <w:rPr>
          <w:rFonts w:eastAsia="Arial"/>
          <w:color w:val="000000"/>
          <w:sz w:val="24"/>
          <w:szCs w:val="24"/>
          <w:u w:val="single"/>
        </w:rPr>
        <w:t>The name, employer, and address of the expert witness</w:t>
      </w:r>
      <w:r w:rsidRPr="005A0BEA">
        <w:rPr>
          <w:rFonts w:eastAsia="Arial"/>
          <w:color w:val="000000"/>
          <w:sz w:val="24"/>
          <w:szCs w:val="24"/>
        </w:rPr>
        <w:t>:</w:t>
      </w:r>
      <w:r w:rsidRPr="005A0BEA">
        <w:rPr>
          <w:rFonts w:eastAsia="Arial"/>
          <w:color w:val="000000"/>
          <w:sz w:val="24"/>
          <w:szCs w:val="24"/>
          <w:u w:val="single"/>
        </w:rPr>
        <w:t xml:space="preserve"> </w:t>
      </w:r>
    </w:p>
    <w:p w14:paraId="17F5101C" w14:textId="0C2ED5BF" w:rsidR="00CD5F8E" w:rsidRPr="005A0BEA" w:rsidRDefault="00CD5F8E" w:rsidP="005A0BEA">
      <w:pPr>
        <w:spacing w:before="6" w:line="272" w:lineRule="exact"/>
        <w:ind w:left="792"/>
        <w:textAlignment w:val="baseline"/>
        <w:rPr>
          <w:rFonts w:eastAsia="Times New Roman"/>
          <w:color w:val="000000"/>
          <w:sz w:val="24"/>
          <w:szCs w:val="24"/>
        </w:rPr>
      </w:pPr>
    </w:p>
    <w:p w14:paraId="7BCAA732" w14:textId="4E5FE62D" w:rsidR="005D3E70" w:rsidRPr="005A0BEA" w:rsidRDefault="005D3E70" w:rsidP="005A0BEA">
      <w:pPr>
        <w:spacing w:before="6" w:line="272" w:lineRule="exact"/>
        <w:ind w:left="792"/>
        <w:textAlignment w:val="baseline"/>
        <w:rPr>
          <w:rFonts w:eastAsia="Times New Roman"/>
          <w:color w:val="000000"/>
          <w:sz w:val="24"/>
          <w:szCs w:val="24"/>
        </w:rPr>
      </w:pPr>
      <w:r w:rsidRPr="005A0BEA">
        <w:rPr>
          <w:rFonts w:eastAsia="Times New Roman"/>
          <w:color w:val="000000"/>
          <w:sz w:val="24"/>
          <w:szCs w:val="24"/>
        </w:rPr>
        <w:t>Joseph C. Sanfilippo, Esq.</w:t>
      </w:r>
    </w:p>
    <w:p w14:paraId="500E39AB" w14:textId="2B10146B" w:rsidR="005D3E70" w:rsidRPr="005A0BEA" w:rsidRDefault="005D3E70" w:rsidP="005A0BEA">
      <w:pPr>
        <w:spacing w:before="6" w:line="272" w:lineRule="exact"/>
        <w:ind w:left="792"/>
        <w:textAlignment w:val="baseline"/>
        <w:rPr>
          <w:rFonts w:eastAsia="Times New Roman"/>
          <w:color w:val="000000"/>
          <w:sz w:val="24"/>
          <w:szCs w:val="24"/>
        </w:rPr>
      </w:pPr>
      <w:r w:rsidRPr="005A0BEA">
        <w:rPr>
          <w:rFonts w:eastAsia="Times New Roman"/>
          <w:color w:val="000000"/>
          <w:sz w:val="24"/>
          <w:szCs w:val="24"/>
        </w:rPr>
        <w:t xml:space="preserve">Action Title Research </w:t>
      </w:r>
    </w:p>
    <w:p w14:paraId="7AF1A84A" w14:textId="6CBA5369" w:rsidR="005D3E70" w:rsidRPr="005A0BEA" w:rsidRDefault="005D3E70" w:rsidP="005A0BEA">
      <w:pPr>
        <w:spacing w:before="6" w:line="272" w:lineRule="exact"/>
        <w:ind w:left="792"/>
        <w:textAlignment w:val="baseline"/>
        <w:rPr>
          <w:rFonts w:eastAsia="Times New Roman"/>
          <w:color w:val="000000"/>
          <w:sz w:val="24"/>
          <w:szCs w:val="24"/>
        </w:rPr>
      </w:pPr>
      <w:r w:rsidRPr="005A0BEA">
        <w:rPr>
          <w:rFonts w:eastAsia="Times New Roman"/>
          <w:color w:val="000000"/>
          <w:sz w:val="24"/>
          <w:szCs w:val="24"/>
        </w:rPr>
        <w:t xml:space="preserve">100 </w:t>
      </w:r>
      <w:proofErr w:type="spellStart"/>
      <w:r w:rsidRPr="005A0BEA">
        <w:rPr>
          <w:rFonts w:eastAsia="Times New Roman"/>
          <w:color w:val="000000"/>
          <w:sz w:val="24"/>
          <w:szCs w:val="24"/>
        </w:rPr>
        <w:t>Tunxis</w:t>
      </w:r>
      <w:proofErr w:type="spellEnd"/>
      <w:r w:rsidRPr="005A0BEA">
        <w:rPr>
          <w:rFonts w:eastAsia="Times New Roman"/>
          <w:color w:val="000000"/>
          <w:sz w:val="24"/>
          <w:szCs w:val="24"/>
        </w:rPr>
        <w:t xml:space="preserve"> Hill Road</w:t>
      </w:r>
    </w:p>
    <w:p w14:paraId="431EC5D3" w14:textId="3987D556" w:rsidR="005D3E70" w:rsidRPr="005A0BEA" w:rsidRDefault="005D3E70" w:rsidP="005A0BEA">
      <w:pPr>
        <w:spacing w:before="6" w:line="272" w:lineRule="exact"/>
        <w:ind w:left="792"/>
        <w:textAlignment w:val="baseline"/>
        <w:rPr>
          <w:rFonts w:eastAsia="Times New Roman"/>
          <w:color w:val="000000"/>
          <w:sz w:val="24"/>
          <w:szCs w:val="24"/>
        </w:rPr>
      </w:pPr>
      <w:r w:rsidRPr="005A0BEA">
        <w:rPr>
          <w:rFonts w:eastAsia="Times New Roman"/>
          <w:color w:val="000000"/>
          <w:sz w:val="24"/>
          <w:szCs w:val="24"/>
        </w:rPr>
        <w:t>Fairfield, CT 06825</w:t>
      </w:r>
    </w:p>
    <w:p w14:paraId="11E07112" w14:textId="38032BB2" w:rsidR="00FA7C70" w:rsidRPr="005A0BEA" w:rsidRDefault="005D3E70" w:rsidP="005A0BEA">
      <w:pPr>
        <w:numPr>
          <w:ilvl w:val="0"/>
          <w:numId w:val="3"/>
        </w:numPr>
        <w:tabs>
          <w:tab w:val="clear" w:pos="360"/>
          <w:tab w:val="left" w:pos="1080"/>
        </w:tabs>
        <w:spacing w:before="284" w:line="272" w:lineRule="exact"/>
        <w:textAlignment w:val="baseline"/>
        <w:rPr>
          <w:rFonts w:eastAsia="Arial"/>
          <w:color w:val="000000"/>
          <w:spacing w:val="-1"/>
          <w:sz w:val="24"/>
          <w:szCs w:val="24"/>
          <w:u w:val="single"/>
        </w:rPr>
      </w:pPr>
      <w:r w:rsidRPr="005A0BEA">
        <w:rPr>
          <w:rFonts w:eastAsia="Arial"/>
          <w:color w:val="000000"/>
          <w:spacing w:val="-1"/>
          <w:sz w:val="24"/>
          <w:szCs w:val="24"/>
          <w:u w:val="single"/>
        </w:rPr>
        <w:t>The subject matter on which the witness is expected to offer expert testimony</w:t>
      </w:r>
      <w:r w:rsidRPr="005A0BEA">
        <w:rPr>
          <w:rFonts w:eastAsia="Arial"/>
          <w:color w:val="000000"/>
          <w:spacing w:val="-1"/>
          <w:sz w:val="24"/>
          <w:szCs w:val="24"/>
        </w:rPr>
        <w:t>:</w:t>
      </w:r>
      <w:r w:rsidRPr="005A0BEA">
        <w:rPr>
          <w:rFonts w:eastAsia="Arial"/>
          <w:color w:val="000000"/>
          <w:spacing w:val="-1"/>
          <w:sz w:val="24"/>
          <w:szCs w:val="24"/>
          <w:u w:val="single"/>
        </w:rPr>
        <w:t xml:space="preserve"> </w:t>
      </w:r>
    </w:p>
    <w:p w14:paraId="6A0E3876" w14:textId="0A7D4E96" w:rsidR="00FA7C70" w:rsidRPr="005A0BEA" w:rsidRDefault="00424F48" w:rsidP="00614CF5">
      <w:pPr>
        <w:spacing w:before="284" w:line="480" w:lineRule="auto"/>
        <w:textAlignment w:val="baseline"/>
        <w:rPr>
          <w:sz w:val="24"/>
          <w:szCs w:val="24"/>
        </w:rPr>
      </w:pPr>
      <w:r w:rsidRPr="005A0BEA">
        <w:rPr>
          <w:rFonts w:eastAsia="Arial"/>
          <w:color w:val="000000"/>
          <w:spacing w:val="-1"/>
          <w:sz w:val="24"/>
          <w:szCs w:val="24"/>
        </w:rPr>
        <w:tab/>
      </w:r>
      <w:r w:rsidR="00FA7C70" w:rsidRPr="005A0BEA">
        <w:rPr>
          <w:rFonts w:eastAsia="Arial"/>
          <w:color w:val="000000"/>
          <w:spacing w:val="-1"/>
          <w:sz w:val="24"/>
          <w:szCs w:val="24"/>
        </w:rPr>
        <w:t xml:space="preserve">Mr. Sanfilippo </w:t>
      </w:r>
      <w:r w:rsidRPr="005A0BEA">
        <w:rPr>
          <w:rFonts w:eastAsia="Arial"/>
          <w:color w:val="000000"/>
          <w:spacing w:val="-1"/>
          <w:sz w:val="24"/>
          <w:szCs w:val="24"/>
        </w:rPr>
        <w:t xml:space="preserve">has practiced as a </w:t>
      </w:r>
      <w:r w:rsidR="00FA7C70" w:rsidRPr="005A0BEA">
        <w:rPr>
          <w:rFonts w:eastAsia="Arial"/>
          <w:color w:val="000000"/>
          <w:spacing w:val="-1"/>
          <w:sz w:val="24"/>
          <w:szCs w:val="24"/>
        </w:rPr>
        <w:t>Connecticut</w:t>
      </w:r>
      <w:r w:rsidRPr="005A0BEA">
        <w:rPr>
          <w:rFonts w:eastAsia="Arial"/>
          <w:color w:val="000000"/>
          <w:spacing w:val="-1"/>
          <w:sz w:val="24"/>
          <w:szCs w:val="24"/>
        </w:rPr>
        <w:t xml:space="preserve"> real estate</w:t>
      </w:r>
      <w:r w:rsidR="00FA7C70" w:rsidRPr="005A0BEA">
        <w:rPr>
          <w:rFonts w:eastAsia="Arial"/>
          <w:color w:val="000000"/>
          <w:spacing w:val="-1"/>
          <w:sz w:val="24"/>
          <w:szCs w:val="24"/>
        </w:rPr>
        <w:t xml:space="preserve"> attorney</w:t>
      </w:r>
      <w:r w:rsidRPr="005A0BEA">
        <w:rPr>
          <w:rFonts w:eastAsia="Arial"/>
          <w:color w:val="000000"/>
          <w:spacing w:val="-1"/>
          <w:sz w:val="24"/>
          <w:szCs w:val="24"/>
        </w:rPr>
        <w:t xml:space="preserve"> since 1991</w:t>
      </w:r>
      <w:r w:rsidR="00FA7C70" w:rsidRPr="005A0BEA">
        <w:rPr>
          <w:rFonts w:eastAsia="Arial"/>
          <w:color w:val="000000"/>
          <w:spacing w:val="-1"/>
          <w:sz w:val="24"/>
          <w:szCs w:val="24"/>
        </w:rPr>
        <w:t xml:space="preserve">.  </w:t>
      </w:r>
      <w:r w:rsidRPr="005A0BEA">
        <w:rPr>
          <w:rFonts w:eastAsia="Times New Roman"/>
          <w:color w:val="000000"/>
          <w:spacing w:val="2"/>
          <w:sz w:val="24"/>
          <w:szCs w:val="24"/>
        </w:rPr>
        <w:t>His practice involves commercial and residential.  He has extensive experience in the area of real estate related matters involving residential and commercial titles, the real estate closing process, and title issues regarding foreclosure, bankruptcy, probate, and common interest ownership communities.  He frequently testifies as an expert in connection with complex title cases.  He serves as an Executive Committee member of the Real Property Section of the Connecticut Bar Association.  He frequently presents seminars about the title examination process, title searching, municipal department searching, and the real estate closing process.</w:t>
      </w:r>
      <w:r w:rsidR="00D950F3">
        <w:rPr>
          <w:sz w:val="24"/>
          <w:szCs w:val="24"/>
        </w:rPr>
        <w:t xml:space="preserve">  </w:t>
      </w:r>
      <w:r w:rsidR="00FA7C70" w:rsidRPr="005A0BEA">
        <w:rPr>
          <w:sz w:val="24"/>
          <w:szCs w:val="24"/>
        </w:rPr>
        <w:t xml:space="preserve">He is expected to testify about the chain of title concerning the Plaintiff’s property and other properties abutting Cook Road. </w:t>
      </w:r>
      <w:r w:rsidR="00D950F3">
        <w:rPr>
          <w:sz w:val="24"/>
          <w:szCs w:val="24"/>
        </w:rPr>
        <w:t xml:space="preserve"> </w:t>
      </w:r>
      <w:r w:rsidR="00FA7C70" w:rsidRPr="005A0BEA">
        <w:rPr>
          <w:sz w:val="24"/>
          <w:szCs w:val="24"/>
        </w:rPr>
        <w:t xml:space="preserve">Mr. </w:t>
      </w:r>
      <w:r w:rsidR="00D950F3">
        <w:rPr>
          <w:sz w:val="24"/>
          <w:szCs w:val="24"/>
        </w:rPr>
        <w:t>Sanfilippo</w:t>
      </w:r>
      <w:r w:rsidR="00D950F3" w:rsidRPr="005A0BEA">
        <w:rPr>
          <w:sz w:val="24"/>
          <w:szCs w:val="24"/>
        </w:rPr>
        <w:t xml:space="preserve"> </w:t>
      </w:r>
      <w:r w:rsidR="00FA7C70" w:rsidRPr="005A0BEA">
        <w:rPr>
          <w:sz w:val="24"/>
          <w:szCs w:val="24"/>
        </w:rPr>
        <w:t xml:space="preserve">is expected to testify to the following: (1) his examination of the </w:t>
      </w:r>
      <w:r w:rsidR="00FA7C70" w:rsidRPr="005A0BEA">
        <w:rPr>
          <w:sz w:val="24"/>
          <w:szCs w:val="24"/>
        </w:rPr>
        <w:lastRenderedPageBreak/>
        <w:t>records of the Town of Cornwall and the lack of any required documentation to establish the discontinuance of Cook Road in 1903; (2) his examination of the records of the Town of Cornwall regarding other actions to discontinue other roads and the procedure followed by the Town in and around 1903; (3) the boundary line agreements as evidenced by the quitclaim deeds executed on or about 1979 and the effect, if any, on the right of the Plaintiff’s parcel to access Cook Road; (4) any legal right to access Cook Road the Plaintiff has; and (5) the application of the Marketable Record Title Act to the Plaintiff’s property rights.</w:t>
      </w:r>
    </w:p>
    <w:p w14:paraId="149E0FF1" w14:textId="379B8CFE" w:rsidR="00FA7C70" w:rsidRPr="005A0BEA" w:rsidRDefault="00424F48" w:rsidP="005A0BEA">
      <w:pPr>
        <w:pStyle w:val="NoSpacing"/>
        <w:spacing w:line="480" w:lineRule="auto"/>
        <w:ind w:firstLine="720"/>
        <w:rPr>
          <w:sz w:val="24"/>
          <w:szCs w:val="24"/>
        </w:rPr>
      </w:pPr>
      <w:r w:rsidRPr="005A0BEA">
        <w:rPr>
          <w:sz w:val="24"/>
          <w:szCs w:val="24"/>
        </w:rPr>
        <w:t>He may also testify as a rebuttal witness to aspects of Defendants’ case, including offering rebuttal testimony in response to evidence offered by the Defendants.</w:t>
      </w:r>
    </w:p>
    <w:p w14:paraId="285E1A5E" w14:textId="4CA43112" w:rsidR="00842201" w:rsidRPr="005A0BEA" w:rsidRDefault="00842201" w:rsidP="005A0BEA">
      <w:pPr>
        <w:numPr>
          <w:ilvl w:val="0"/>
          <w:numId w:val="3"/>
        </w:numPr>
        <w:rPr>
          <w:sz w:val="24"/>
          <w:szCs w:val="24"/>
        </w:rPr>
      </w:pPr>
      <w:r w:rsidRPr="005A0BEA">
        <w:rPr>
          <w:sz w:val="24"/>
          <w:szCs w:val="24"/>
          <w:u w:val="single"/>
        </w:rPr>
        <w:t>The substance of the facts and expert opinions to which the witness is expected to testify</w:t>
      </w:r>
      <w:r w:rsidRPr="005A0BEA">
        <w:rPr>
          <w:sz w:val="24"/>
          <w:szCs w:val="24"/>
        </w:rPr>
        <w:t>:</w:t>
      </w:r>
    </w:p>
    <w:p w14:paraId="7446E515" w14:textId="2C84F59F" w:rsidR="00424F48" w:rsidRPr="005A0BEA" w:rsidRDefault="00424F48" w:rsidP="005A0BEA">
      <w:pPr>
        <w:spacing w:line="506" w:lineRule="exact"/>
        <w:ind w:right="72" w:firstLine="720"/>
        <w:textAlignment w:val="baseline"/>
        <w:rPr>
          <w:rFonts w:eastAsia="Times New Roman"/>
          <w:color w:val="000000"/>
          <w:spacing w:val="-3"/>
          <w:sz w:val="24"/>
          <w:szCs w:val="24"/>
        </w:rPr>
      </w:pPr>
      <w:r w:rsidRPr="005A0BEA">
        <w:rPr>
          <w:rFonts w:eastAsia="Times New Roman"/>
          <w:color w:val="000000"/>
          <w:spacing w:val="-3"/>
          <w:sz w:val="24"/>
          <w:szCs w:val="24"/>
        </w:rPr>
        <w:t xml:space="preserve">Mr. </w:t>
      </w:r>
      <w:r w:rsidR="00D9433B" w:rsidRPr="005A0BEA">
        <w:rPr>
          <w:rFonts w:eastAsia="Times New Roman"/>
          <w:color w:val="000000"/>
          <w:spacing w:val="-3"/>
          <w:sz w:val="24"/>
          <w:szCs w:val="24"/>
        </w:rPr>
        <w:t>Sanfilippo</w:t>
      </w:r>
      <w:r w:rsidRPr="005A0BEA">
        <w:rPr>
          <w:rFonts w:eastAsia="Times New Roman"/>
          <w:color w:val="000000"/>
          <w:spacing w:val="-3"/>
          <w:sz w:val="24"/>
          <w:szCs w:val="24"/>
        </w:rPr>
        <w:t xml:space="preserve"> is expected to opine that he reviewed the records at </w:t>
      </w:r>
      <w:r w:rsidR="005A0BEA" w:rsidRPr="005A0BEA">
        <w:rPr>
          <w:rFonts w:eastAsia="Times New Roman"/>
          <w:color w:val="000000"/>
          <w:spacing w:val="-3"/>
          <w:sz w:val="24"/>
          <w:szCs w:val="24"/>
        </w:rPr>
        <w:t>Cornwall</w:t>
      </w:r>
      <w:r w:rsidRPr="005A0BEA">
        <w:rPr>
          <w:rFonts w:eastAsia="Times New Roman"/>
          <w:color w:val="000000"/>
          <w:spacing w:val="-3"/>
          <w:sz w:val="24"/>
          <w:szCs w:val="24"/>
        </w:rPr>
        <w:t xml:space="preserve"> Town Hall for the 1903 alleged discontinuance of Cook Road and there </w:t>
      </w:r>
      <w:r w:rsidR="005A0BEA" w:rsidRPr="005A0BEA">
        <w:rPr>
          <w:rFonts w:eastAsia="Times New Roman"/>
          <w:color w:val="000000"/>
          <w:spacing w:val="-3"/>
          <w:sz w:val="24"/>
          <w:szCs w:val="24"/>
        </w:rPr>
        <w:t xml:space="preserve">is </w:t>
      </w:r>
      <w:r w:rsidRPr="005A0BEA">
        <w:rPr>
          <w:rFonts w:eastAsia="Times New Roman"/>
          <w:color w:val="000000"/>
          <w:spacing w:val="-3"/>
          <w:sz w:val="24"/>
          <w:szCs w:val="24"/>
        </w:rPr>
        <w:t xml:space="preserve">no writing by the Selectmen as required by the applicable statute, Section 1442 of the General Statutes.  As of 1903, Section 1442 of the General Statutes required the following steps for a </w:t>
      </w:r>
      <w:r w:rsidR="005A0BEA" w:rsidRPr="005A0BEA">
        <w:rPr>
          <w:rFonts w:eastAsia="Times New Roman"/>
          <w:color w:val="000000"/>
          <w:spacing w:val="-3"/>
          <w:sz w:val="24"/>
          <w:szCs w:val="24"/>
        </w:rPr>
        <w:t>municipality</w:t>
      </w:r>
      <w:r w:rsidRPr="005A0BEA">
        <w:rPr>
          <w:rFonts w:eastAsia="Times New Roman"/>
          <w:color w:val="000000"/>
          <w:spacing w:val="-3"/>
          <w:sz w:val="24"/>
          <w:szCs w:val="24"/>
        </w:rPr>
        <w:t xml:space="preserve"> to discontinue a public highway: a) a vote by the </w:t>
      </w:r>
      <w:r w:rsidR="005A0BEA" w:rsidRPr="005A0BEA">
        <w:rPr>
          <w:rFonts w:eastAsia="Times New Roman"/>
          <w:color w:val="000000"/>
          <w:spacing w:val="-3"/>
          <w:sz w:val="24"/>
          <w:szCs w:val="24"/>
        </w:rPr>
        <w:t>selectmen</w:t>
      </w:r>
      <w:r w:rsidRPr="005A0BEA">
        <w:rPr>
          <w:rFonts w:eastAsia="Times New Roman"/>
          <w:color w:val="000000"/>
          <w:spacing w:val="-3"/>
          <w:sz w:val="24"/>
          <w:szCs w:val="24"/>
        </w:rPr>
        <w:t xml:space="preserve"> to discontinue the highway; ii) a signed writing by the selectmen discontinuing the highway in a writing signed by them; and iii) a vote of a Town Meeting in favor of discontinuance. Mr. </w:t>
      </w:r>
      <w:r w:rsidR="00D9433B" w:rsidRPr="005A0BEA">
        <w:rPr>
          <w:rFonts w:eastAsia="Times New Roman"/>
          <w:color w:val="000000"/>
          <w:spacing w:val="-3"/>
          <w:sz w:val="24"/>
          <w:szCs w:val="24"/>
        </w:rPr>
        <w:t>Sanfilippo</w:t>
      </w:r>
      <w:r w:rsidRPr="005A0BEA">
        <w:rPr>
          <w:rFonts w:eastAsia="Times New Roman"/>
          <w:color w:val="000000"/>
          <w:spacing w:val="-3"/>
          <w:sz w:val="24"/>
          <w:szCs w:val="24"/>
        </w:rPr>
        <w:t xml:space="preserve"> is expected to opine that at other times in or around 1903, the Town of Cornwall discontinued other roads and when doing so, the Selectmen issued a writing evidencing compliance with Section 1442 of the General Statutes.  </w:t>
      </w:r>
    </w:p>
    <w:p w14:paraId="71F67C7C" w14:textId="092234ED" w:rsidR="00424F48" w:rsidRPr="005A0BEA" w:rsidRDefault="00424F48" w:rsidP="005A0BEA">
      <w:pPr>
        <w:spacing w:line="506" w:lineRule="exact"/>
        <w:ind w:right="72" w:firstLine="720"/>
        <w:textAlignment w:val="baseline"/>
        <w:rPr>
          <w:rFonts w:eastAsia="Times New Roman"/>
          <w:color w:val="000000"/>
          <w:spacing w:val="-3"/>
          <w:sz w:val="24"/>
          <w:szCs w:val="24"/>
        </w:rPr>
      </w:pPr>
      <w:r w:rsidRPr="005A0BEA">
        <w:rPr>
          <w:rFonts w:eastAsia="Times New Roman"/>
          <w:color w:val="000000"/>
          <w:spacing w:val="-3"/>
          <w:sz w:val="24"/>
          <w:szCs w:val="24"/>
        </w:rPr>
        <w:t xml:space="preserve">He is further expected to testify that the 1979 Quiet Title action and the deeds related to the same did not extinguish any right, title, or access to Cook Road from the Plaintiff’s property.  </w:t>
      </w:r>
      <w:r w:rsidR="005A0BEA" w:rsidRPr="005A0BEA">
        <w:rPr>
          <w:rFonts w:eastAsia="Times New Roman"/>
          <w:color w:val="000000"/>
          <w:spacing w:val="-3"/>
          <w:sz w:val="24"/>
          <w:szCs w:val="24"/>
        </w:rPr>
        <w:t>He is further expected to testify that the documents recorded in connection with the 1979 Quiet Title Action were consistent with common practice under Connecticut real estate law of documenting a boundary line agreement.</w:t>
      </w:r>
    </w:p>
    <w:p w14:paraId="0DE5B496" w14:textId="61B04596" w:rsidR="00424F48" w:rsidRDefault="00424F48" w:rsidP="005A0BEA">
      <w:pPr>
        <w:spacing w:line="506" w:lineRule="exact"/>
        <w:ind w:right="72" w:firstLine="720"/>
        <w:textAlignment w:val="baseline"/>
        <w:rPr>
          <w:rFonts w:eastAsia="Times New Roman"/>
          <w:color w:val="000000"/>
          <w:spacing w:val="-3"/>
          <w:sz w:val="24"/>
          <w:szCs w:val="24"/>
        </w:rPr>
      </w:pPr>
      <w:r w:rsidRPr="005A0BEA">
        <w:rPr>
          <w:rFonts w:eastAsia="Times New Roman"/>
          <w:color w:val="000000"/>
          <w:spacing w:val="-3"/>
          <w:sz w:val="24"/>
          <w:szCs w:val="24"/>
        </w:rPr>
        <w:lastRenderedPageBreak/>
        <w:t>He is further expected to testify that based on his review of the Cornwall Land Reco</w:t>
      </w:r>
      <w:r w:rsidR="00721323">
        <w:rPr>
          <w:rFonts w:eastAsia="Times New Roman"/>
          <w:color w:val="000000"/>
          <w:spacing w:val="-3"/>
          <w:sz w:val="24"/>
          <w:szCs w:val="24"/>
        </w:rPr>
        <w:t>rds, multiple chains of title, maps, and surveys refer to Cook Road as a highway, and accordingly, under the Marketable Record Title Act, Cook Road is a highway and Plaintiff has the right to use the same</w:t>
      </w:r>
      <w:r w:rsidRPr="005A0BEA">
        <w:rPr>
          <w:rFonts w:eastAsia="Times New Roman"/>
          <w:color w:val="000000"/>
          <w:spacing w:val="-3"/>
          <w:sz w:val="24"/>
          <w:szCs w:val="24"/>
        </w:rPr>
        <w:t>.</w:t>
      </w:r>
    </w:p>
    <w:p w14:paraId="5432AC74" w14:textId="7F6F8627" w:rsidR="000440B0" w:rsidRPr="005A0BEA" w:rsidRDefault="000440B0" w:rsidP="005A0BEA">
      <w:pPr>
        <w:spacing w:line="506" w:lineRule="exact"/>
        <w:ind w:right="72" w:firstLine="720"/>
        <w:textAlignment w:val="baseline"/>
        <w:rPr>
          <w:rFonts w:eastAsia="Times New Roman"/>
          <w:color w:val="000000"/>
          <w:spacing w:val="-3"/>
          <w:sz w:val="24"/>
          <w:szCs w:val="24"/>
        </w:rPr>
      </w:pPr>
      <w:r>
        <w:rPr>
          <w:rFonts w:eastAsia="Times New Roman"/>
          <w:color w:val="000000"/>
          <w:spacing w:val="-3"/>
          <w:sz w:val="24"/>
          <w:szCs w:val="24"/>
        </w:rPr>
        <w:t xml:space="preserve">He is further expected to testify that unless the Plaintiff has access to his Property over Cook Road (whether because it is a public right of way, private right of way, prescriptive easement, easement by necessity, or easement by implication), the Plaintiff would </w:t>
      </w:r>
      <w:r w:rsidR="00721323">
        <w:rPr>
          <w:rFonts w:eastAsia="Times New Roman"/>
          <w:color w:val="000000"/>
          <w:spacing w:val="-3"/>
          <w:sz w:val="24"/>
          <w:szCs w:val="24"/>
        </w:rPr>
        <w:t>not have any</w:t>
      </w:r>
      <w:r>
        <w:rPr>
          <w:rFonts w:eastAsia="Times New Roman"/>
          <w:color w:val="000000"/>
          <w:spacing w:val="-3"/>
          <w:sz w:val="24"/>
          <w:szCs w:val="24"/>
        </w:rPr>
        <w:t xml:space="preserve"> other means of ingress or egress to the Property.</w:t>
      </w:r>
      <w:r w:rsidR="00EF7C55">
        <w:rPr>
          <w:rFonts w:eastAsia="Times New Roman"/>
          <w:color w:val="000000"/>
          <w:spacing w:val="-3"/>
          <w:sz w:val="24"/>
          <w:szCs w:val="24"/>
        </w:rPr>
        <w:t xml:space="preserve"> He is further expected to testify that to the extent that the 1979 Quiet Title Action resulted in the Property becoming landlocked, the conveyances in the Quiet Title Action left the grantee with a parcel inaccessible save over the lands of the grantor. He is further expected to testify that</w:t>
      </w:r>
      <w:r w:rsidR="008A1711">
        <w:rPr>
          <w:rFonts w:eastAsia="Times New Roman"/>
          <w:color w:val="000000"/>
          <w:spacing w:val="-3"/>
          <w:sz w:val="24"/>
          <w:szCs w:val="24"/>
        </w:rPr>
        <w:t xml:space="preserve"> to the extent that the 1979 Quiet Title Action did not result in the Property becoming landlocked, use of Cook Road to access the property was nevertheless so evidently necessary to the reasonable enjoyment of the granted premises that it can be presumed that the parties intended the Property to benefit from its use.</w:t>
      </w:r>
    </w:p>
    <w:p w14:paraId="48A4E8EE" w14:textId="77777777" w:rsidR="00FA7C70" w:rsidRPr="005A0BEA" w:rsidRDefault="00FA7C70" w:rsidP="005A0BEA">
      <w:pPr>
        <w:tabs>
          <w:tab w:val="left" w:pos="360"/>
        </w:tabs>
        <w:rPr>
          <w:sz w:val="24"/>
          <w:szCs w:val="24"/>
        </w:rPr>
      </w:pPr>
    </w:p>
    <w:p w14:paraId="094BCF64" w14:textId="7367053E" w:rsidR="00FA7C70" w:rsidRPr="005A0BEA" w:rsidRDefault="00FA7C70" w:rsidP="005A0BEA">
      <w:pPr>
        <w:numPr>
          <w:ilvl w:val="0"/>
          <w:numId w:val="3"/>
        </w:numPr>
        <w:rPr>
          <w:sz w:val="24"/>
          <w:szCs w:val="24"/>
        </w:rPr>
      </w:pPr>
      <w:r w:rsidRPr="005A0BEA">
        <w:rPr>
          <w:sz w:val="24"/>
          <w:szCs w:val="24"/>
          <w:u w:val="single"/>
        </w:rPr>
        <w:t>The substance of the grounds for each such expert opinion</w:t>
      </w:r>
      <w:r w:rsidRPr="005A0BEA">
        <w:rPr>
          <w:sz w:val="24"/>
          <w:szCs w:val="24"/>
        </w:rPr>
        <w:t>.</w:t>
      </w:r>
    </w:p>
    <w:p w14:paraId="26CAD66D" w14:textId="4D536D57" w:rsidR="00424F48" w:rsidRDefault="00FA7C70" w:rsidP="005A0BEA">
      <w:pPr>
        <w:spacing w:before="280" w:line="480" w:lineRule="auto"/>
        <w:ind w:firstLine="720"/>
        <w:textAlignment w:val="baseline"/>
        <w:rPr>
          <w:rFonts w:eastAsia="Times New Roman"/>
          <w:color w:val="000000"/>
          <w:spacing w:val="2"/>
          <w:sz w:val="24"/>
          <w:szCs w:val="24"/>
        </w:rPr>
      </w:pPr>
      <w:r w:rsidRPr="005A0BEA">
        <w:rPr>
          <w:rFonts w:eastAsia="Times New Roman"/>
          <w:color w:val="000000"/>
          <w:spacing w:val="2"/>
          <w:sz w:val="24"/>
          <w:szCs w:val="24"/>
        </w:rPr>
        <w:t>Mr. Sanfilippo will base his testimony on his training, knowledge, and experience as a Connecticut real state attorney since 1991, his review of the</w:t>
      </w:r>
      <w:r w:rsidR="00424F48" w:rsidRPr="005A0BEA">
        <w:rPr>
          <w:rFonts w:eastAsia="Times New Roman"/>
          <w:color w:val="000000"/>
          <w:spacing w:val="2"/>
          <w:sz w:val="24"/>
          <w:szCs w:val="24"/>
        </w:rPr>
        <w:t xml:space="preserve"> Town of</w:t>
      </w:r>
      <w:r w:rsidRPr="005A0BEA">
        <w:rPr>
          <w:rFonts w:eastAsia="Times New Roman"/>
          <w:color w:val="000000"/>
          <w:spacing w:val="2"/>
          <w:sz w:val="24"/>
          <w:szCs w:val="24"/>
        </w:rPr>
        <w:t xml:space="preserve"> Cornwall Land Records, his knowledge of real estate practices within the State of Connecticut, </w:t>
      </w:r>
      <w:r w:rsidR="00424F48" w:rsidRPr="005A0BEA">
        <w:rPr>
          <w:rFonts w:eastAsia="Times New Roman"/>
          <w:color w:val="000000"/>
          <w:spacing w:val="2"/>
          <w:sz w:val="24"/>
          <w:szCs w:val="24"/>
        </w:rPr>
        <w:t xml:space="preserve">and </w:t>
      </w:r>
      <w:r w:rsidRPr="005A0BEA">
        <w:rPr>
          <w:rFonts w:eastAsia="Times New Roman"/>
          <w:color w:val="000000"/>
          <w:spacing w:val="2"/>
          <w:sz w:val="24"/>
          <w:szCs w:val="24"/>
        </w:rPr>
        <w:t xml:space="preserve">his review of </w:t>
      </w:r>
      <w:r w:rsidR="00424F48" w:rsidRPr="005A0BEA">
        <w:rPr>
          <w:rFonts w:eastAsia="Times New Roman"/>
          <w:color w:val="000000"/>
          <w:spacing w:val="2"/>
          <w:sz w:val="24"/>
          <w:szCs w:val="24"/>
        </w:rPr>
        <w:t xml:space="preserve">minutes and other public records in the Town of Cornwall.  </w:t>
      </w:r>
    </w:p>
    <w:p w14:paraId="7E432A57" w14:textId="77777777" w:rsidR="00721323" w:rsidRDefault="00721323" w:rsidP="005A0BEA">
      <w:pPr>
        <w:spacing w:before="280" w:line="480" w:lineRule="auto"/>
        <w:ind w:firstLine="720"/>
        <w:textAlignment w:val="baseline"/>
        <w:rPr>
          <w:rFonts w:eastAsia="Times New Roman"/>
          <w:color w:val="000000"/>
          <w:spacing w:val="2"/>
          <w:sz w:val="24"/>
          <w:szCs w:val="24"/>
        </w:rPr>
      </w:pPr>
    </w:p>
    <w:p w14:paraId="5CC6D7C6" w14:textId="77777777" w:rsidR="00721323" w:rsidRDefault="00721323" w:rsidP="005A0BEA">
      <w:pPr>
        <w:spacing w:before="280" w:line="480" w:lineRule="auto"/>
        <w:ind w:firstLine="720"/>
        <w:textAlignment w:val="baseline"/>
        <w:rPr>
          <w:rFonts w:eastAsia="Times New Roman"/>
          <w:color w:val="000000"/>
          <w:spacing w:val="2"/>
          <w:sz w:val="24"/>
          <w:szCs w:val="24"/>
        </w:rPr>
      </w:pPr>
    </w:p>
    <w:p w14:paraId="59735D5F" w14:textId="77777777" w:rsidR="00721323" w:rsidRDefault="00721323" w:rsidP="005A0BEA">
      <w:pPr>
        <w:spacing w:before="280" w:line="480" w:lineRule="auto"/>
        <w:ind w:firstLine="720"/>
        <w:textAlignment w:val="baseline"/>
        <w:rPr>
          <w:rFonts w:eastAsia="Times New Roman"/>
          <w:color w:val="000000"/>
          <w:spacing w:val="2"/>
          <w:sz w:val="24"/>
          <w:szCs w:val="24"/>
        </w:rPr>
      </w:pPr>
    </w:p>
    <w:p w14:paraId="4657F000" w14:textId="77777777" w:rsidR="00721323" w:rsidRPr="005A0BEA" w:rsidRDefault="00721323" w:rsidP="005A0BEA">
      <w:pPr>
        <w:spacing w:before="280" w:line="480" w:lineRule="auto"/>
        <w:ind w:firstLine="720"/>
        <w:textAlignment w:val="baseline"/>
        <w:rPr>
          <w:rFonts w:eastAsia="Times New Roman"/>
          <w:color w:val="000000"/>
          <w:spacing w:val="2"/>
          <w:sz w:val="24"/>
          <w:szCs w:val="24"/>
        </w:rPr>
      </w:pPr>
    </w:p>
    <w:p w14:paraId="099BE6C4" w14:textId="77777777" w:rsidR="005A0BEA" w:rsidRPr="005A0BEA" w:rsidRDefault="005A0BEA" w:rsidP="005A0BEA">
      <w:pPr>
        <w:tabs>
          <w:tab w:val="left" w:pos="-720"/>
        </w:tabs>
        <w:suppressAutoHyphens/>
        <w:contextualSpacing/>
        <w:rPr>
          <w:rFonts w:eastAsia="Times New Roman"/>
          <w:b/>
          <w:bCs/>
          <w:sz w:val="24"/>
          <w:szCs w:val="24"/>
        </w:rPr>
      </w:pPr>
      <w:r w:rsidRPr="005A0BEA">
        <w:rPr>
          <w:rFonts w:eastAsia="Times New Roman"/>
          <w:b/>
          <w:bCs/>
          <w:sz w:val="24"/>
          <w:szCs w:val="24"/>
        </w:rPr>
        <w:lastRenderedPageBreak/>
        <w:tab/>
      </w:r>
      <w:r w:rsidRPr="005A0BEA">
        <w:rPr>
          <w:rFonts w:eastAsia="Times New Roman"/>
          <w:b/>
          <w:bCs/>
          <w:sz w:val="24"/>
          <w:szCs w:val="24"/>
        </w:rPr>
        <w:tab/>
      </w:r>
      <w:r w:rsidRPr="005A0BEA">
        <w:rPr>
          <w:rFonts w:eastAsia="Times New Roman"/>
          <w:b/>
          <w:bCs/>
          <w:sz w:val="24"/>
          <w:szCs w:val="24"/>
        </w:rPr>
        <w:tab/>
      </w:r>
      <w:r w:rsidRPr="005A0BEA">
        <w:rPr>
          <w:rFonts w:eastAsia="Times New Roman"/>
          <w:b/>
          <w:bCs/>
          <w:sz w:val="24"/>
          <w:szCs w:val="24"/>
        </w:rPr>
        <w:tab/>
      </w:r>
      <w:r w:rsidRPr="005A0BEA">
        <w:rPr>
          <w:rFonts w:eastAsia="Times New Roman"/>
          <w:b/>
          <w:bCs/>
          <w:sz w:val="24"/>
          <w:szCs w:val="24"/>
        </w:rPr>
        <w:tab/>
        <w:t>THE PLAINTIFF,</w:t>
      </w:r>
    </w:p>
    <w:p w14:paraId="3CF09092" w14:textId="77777777" w:rsidR="005A0BEA" w:rsidRPr="005A0BEA" w:rsidRDefault="005A0BEA" w:rsidP="005A0BEA">
      <w:pPr>
        <w:tabs>
          <w:tab w:val="left" w:pos="-720"/>
        </w:tabs>
        <w:suppressAutoHyphens/>
        <w:contextualSpacing/>
        <w:rPr>
          <w:rFonts w:eastAsia="Times New Roman"/>
          <w:b/>
          <w:bCs/>
          <w:sz w:val="24"/>
          <w:szCs w:val="24"/>
        </w:rPr>
      </w:pPr>
      <w:r w:rsidRPr="005A0BEA">
        <w:rPr>
          <w:rFonts w:eastAsia="Times New Roman"/>
          <w:b/>
          <w:bCs/>
          <w:sz w:val="24"/>
          <w:szCs w:val="24"/>
        </w:rPr>
        <w:tab/>
      </w:r>
      <w:r w:rsidRPr="005A0BEA">
        <w:rPr>
          <w:rFonts w:eastAsia="Times New Roman"/>
          <w:b/>
          <w:bCs/>
          <w:sz w:val="24"/>
          <w:szCs w:val="24"/>
        </w:rPr>
        <w:tab/>
      </w:r>
      <w:r w:rsidRPr="005A0BEA">
        <w:rPr>
          <w:rFonts w:eastAsia="Times New Roman"/>
          <w:b/>
          <w:bCs/>
          <w:sz w:val="24"/>
          <w:szCs w:val="24"/>
        </w:rPr>
        <w:tab/>
      </w:r>
      <w:r w:rsidRPr="005A0BEA">
        <w:rPr>
          <w:rFonts w:eastAsia="Times New Roman"/>
          <w:b/>
          <w:bCs/>
          <w:sz w:val="24"/>
          <w:szCs w:val="24"/>
        </w:rPr>
        <w:tab/>
      </w:r>
      <w:r w:rsidRPr="005A0BEA">
        <w:rPr>
          <w:rFonts w:eastAsia="Times New Roman"/>
          <w:b/>
          <w:bCs/>
          <w:sz w:val="24"/>
          <w:szCs w:val="24"/>
        </w:rPr>
        <w:tab/>
        <w:t>ANTHONY MACCHIAROLI</w:t>
      </w:r>
    </w:p>
    <w:p w14:paraId="73E700AF" w14:textId="77777777" w:rsidR="005A0BEA" w:rsidRPr="005A0BEA" w:rsidRDefault="005A0BEA" w:rsidP="005A0BEA">
      <w:pPr>
        <w:tabs>
          <w:tab w:val="left" w:pos="-720"/>
        </w:tabs>
        <w:suppressAutoHyphens/>
        <w:contextualSpacing/>
        <w:rPr>
          <w:rFonts w:eastAsia="Times New Roman"/>
          <w:b/>
          <w:bCs/>
          <w:sz w:val="24"/>
          <w:szCs w:val="24"/>
        </w:rPr>
      </w:pPr>
    </w:p>
    <w:p w14:paraId="00123D01" w14:textId="77777777" w:rsidR="005A0BEA" w:rsidRPr="005A0BEA" w:rsidRDefault="005A0BEA" w:rsidP="005A0BEA">
      <w:pPr>
        <w:tabs>
          <w:tab w:val="left" w:pos="-72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t>By:</w:t>
      </w:r>
      <w:r w:rsidRPr="005A0BEA">
        <w:rPr>
          <w:rFonts w:eastAsia="Times New Roman"/>
          <w:sz w:val="24"/>
          <w:szCs w:val="24"/>
          <w:u w:val="single"/>
        </w:rPr>
        <w:t xml:space="preserve"> /s/ Philip C. Pires 429397</w:t>
      </w:r>
    </w:p>
    <w:p w14:paraId="56BAF38D" w14:textId="77777777" w:rsidR="005A0BEA" w:rsidRPr="005A0BEA" w:rsidRDefault="005A0BEA" w:rsidP="005A0BEA">
      <w:pPr>
        <w:tabs>
          <w:tab w:val="left" w:pos="-72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t>Philip C. Pires, Esq.</w:t>
      </w:r>
    </w:p>
    <w:p w14:paraId="5D1E5E29" w14:textId="77777777" w:rsidR="005A0BEA" w:rsidRPr="005A0BEA" w:rsidRDefault="005A0BEA" w:rsidP="005A0BEA">
      <w:pPr>
        <w:tabs>
          <w:tab w:val="left" w:pos="-72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t>Wilson T. Carroll, Esq.</w:t>
      </w:r>
    </w:p>
    <w:p w14:paraId="710F2E9F" w14:textId="77777777" w:rsidR="005A0BEA" w:rsidRPr="005A0BEA" w:rsidRDefault="005A0BEA" w:rsidP="005A0BEA">
      <w:pPr>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t>Cohen and Wolf, P.C.</w:t>
      </w:r>
    </w:p>
    <w:p w14:paraId="6E7C80E5" w14:textId="77777777" w:rsidR="005A0BEA" w:rsidRPr="005A0BEA" w:rsidRDefault="005A0BEA" w:rsidP="005A0BEA">
      <w:pPr>
        <w:tabs>
          <w:tab w:val="left" w:pos="720"/>
          <w:tab w:val="left" w:pos="1440"/>
          <w:tab w:val="left" w:pos="2160"/>
          <w:tab w:val="left" w:pos="2880"/>
          <w:tab w:val="left" w:pos="3600"/>
          <w:tab w:val="left" w:pos="4320"/>
          <w:tab w:val="left" w:pos="5040"/>
          <w:tab w:val="right" w:pos="1008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Calibri"/>
          <w:sz w:val="24"/>
          <w:szCs w:val="24"/>
        </w:rPr>
        <w:t xml:space="preserve">1115 Broad Street </w:t>
      </w:r>
    </w:p>
    <w:p w14:paraId="3969CA34" w14:textId="77777777" w:rsidR="005A0BEA" w:rsidRPr="005A0BEA" w:rsidRDefault="005A0BEA" w:rsidP="005A0BEA">
      <w:pPr>
        <w:tabs>
          <w:tab w:val="left" w:pos="720"/>
          <w:tab w:val="left" w:pos="1440"/>
          <w:tab w:val="left" w:pos="2160"/>
          <w:tab w:val="left" w:pos="2880"/>
          <w:tab w:val="left" w:pos="3600"/>
          <w:tab w:val="left" w:pos="4320"/>
          <w:tab w:val="left" w:pos="5040"/>
          <w:tab w:val="right" w:pos="1008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Calibri"/>
          <w:sz w:val="24"/>
          <w:szCs w:val="24"/>
        </w:rPr>
        <w:t>Bridgeport, CT 06604</w:t>
      </w:r>
    </w:p>
    <w:p w14:paraId="2A7EEDDB" w14:textId="77777777" w:rsidR="005A0BEA" w:rsidRPr="005A0BEA" w:rsidRDefault="005A0BEA" w:rsidP="005A0BEA">
      <w:pPr>
        <w:tabs>
          <w:tab w:val="left" w:pos="720"/>
          <w:tab w:val="left" w:pos="1440"/>
          <w:tab w:val="left" w:pos="2160"/>
          <w:tab w:val="left" w:pos="2880"/>
          <w:tab w:val="left" w:pos="3600"/>
          <w:tab w:val="left" w:pos="4320"/>
          <w:tab w:val="left" w:pos="5040"/>
          <w:tab w:val="right" w:pos="1008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Calibri"/>
          <w:sz w:val="24"/>
          <w:szCs w:val="24"/>
        </w:rPr>
        <w:t xml:space="preserve">Tel: (203) 337-4122 </w:t>
      </w:r>
    </w:p>
    <w:p w14:paraId="6277B08A" w14:textId="77777777" w:rsidR="005A0BEA" w:rsidRPr="005A0BEA" w:rsidRDefault="005A0BEA" w:rsidP="005A0BEA">
      <w:pPr>
        <w:ind w:left="3600" w:firstLine="720"/>
        <w:rPr>
          <w:rFonts w:eastAsia="Calibri"/>
          <w:sz w:val="24"/>
          <w:szCs w:val="24"/>
        </w:rPr>
      </w:pPr>
      <w:r w:rsidRPr="005A0BEA">
        <w:rPr>
          <w:rFonts w:eastAsia="Calibri"/>
          <w:sz w:val="24"/>
          <w:szCs w:val="24"/>
        </w:rPr>
        <w:t xml:space="preserve">E-mail: ppires@cohenandwolf.com </w:t>
      </w:r>
    </w:p>
    <w:p w14:paraId="24BC9100" w14:textId="77777777" w:rsidR="005A0BEA" w:rsidRPr="005A0BEA" w:rsidRDefault="005A0BEA" w:rsidP="005A0BEA">
      <w:pPr>
        <w:ind w:left="3600" w:firstLine="720"/>
        <w:rPr>
          <w:rFonts w:eastAsia="Calibri"/>
          <w:sz w:val="24"/>
          <w:szCs w:val="24"/>
        </w:rPr>
      </w:pPr>
      <w:r w:rsidRPr="005A0BEA">
        <w:rPr>
          <w:rFonts w:eastAsia="Calibri"/>
          <w:sz w:val="24"/>
          <w:szCs w:val="24"/>
        </w:rPr>
        <w:t xml:space="preserve">E-mail: wcarroll@cohenandwolf.com </w:t>
      </w:r>
    </w:p>
    <w:p w14:paraId="711371EE" w14:textId="77777777" w:rsidR="005A0BEA" w:rsidRPr="005A0BEA" w:rsidRDefault="005A0BEA" w:rsidP="005A0BEA">
      <w:pPr>
        <w:tabs>
          <w:tab w:val="left" w:pos="-720"/>
        </w:tabs>
        <w:suppressAutoHyphens/>
        <w:rPr>
          <w:rFonts w:eastAsia="Calibri"/>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Calibri"/>
          <w:sz w:val="24"/>
          <w:szCs w:val="24"/>
        </w:rPr>
        <w:t>Juris No. 010032</w:t>
      </w:r>
    </w:p>
    <w:p w14:paraId="1206BBDD" w14:textId="77777777" w:rsidR="005A0BEA" w:rsidRPr="005A0BEA" w:rsidRDefault="005A0BEA" w:rsidP="005A0BEA">
      <w:pPr>
        <w:rPr>
          <w:rFonts w:eastAsiaTheme="minorHAnsi"/>
          <w:sz w:val="24"/>
          <w:szCs w:val="24"/>
        </w:rPr>
      </w:pPr>
      <w:r w:rsidRPr="005A0BEA">
        <w:rPr>
          <w:sz w:val="24"/>
          <w:szCs w:val="24"/>
        </w:rPr>
        <w:br w:type="page"/>
      </w:r>
    </w:p>
    <w:p w14:paraId="2761BF44" w14:textId="77777777" w:rsidR="005A0BEA" w:rsidRPr="005A0BEA" w:rsidRDefault="005A0BEA" w:rsidP="005A0BEA">
      <w:pPr>
        <w:contextualSpacing/>
        <w:jc w:val="center"/>
        <w:rPr>
          <w:rFonts w:eastAsia="Times New Roman"/>
          <w:b/>
          <w:sz w:val="24"/>
          <w:szCs w:val="24"/>
        </w:rPr>
      </w:pPr>
      <w:r w:rsidRPr="005A0BEA">
        <w:rPr>
          <w:rFonts w:eastAsia="Times New Roman"/>
          <w:b/>
          <w:sz w:val="24"/>
          <w:szCs w:val="24"/>
          <w:u w:val="single"/>
        </w:rPr>
        <w:lastRenderedPageBreak/>
        <w:t>CERTIFICATION OF SERVICE</w:t>
      </w:r>
    </w:p>
    <w:p w14:paraId="6BF34D19" w14:textId="77777777" w:rsidR="005A0BEA" w:rsidRPr="005A0BEA" w:rsidRDefault="005A0BEA" w:rsidP="005A0BEA">
      <w:pPr>
        <w:tabs>
          <w:tab w:val="left" w:pos="-720"/>
        </w:tabs>
        <w:suppressAutoHyphens/>
        <w:contextualSpacing/>
        <w:rPr>
          <w:rFonts w:eastAsia="Times New Roman"/>
          <w:sz w:val="24"/>
          <w:szCs w:val="24"/>
        </w:rPr>
      </w:pPr>
    </w:p>
    <w:p w14:paraId="6FE1972A" w14:textId="77777777" w:rsidR="005A0BEA" w:rsidRPr="005A0BEA" w:rsidRDefault="005A0BEA" w:rsidP="005A0BEA">
      <w:pPr>
        <w:tabs>
          <w:tab w:val="left" w:pos="-720"/>
        </w:tabs>
        <w:suppressAutoHyphens/>
        <w:spacing w:line="480" w:lineRule="auto"/>
        <w:contextualSpacing/>
        <w:rPr>
          <w:rFonts w:eastAsia="Times New Roman"/>
          <w:sz w:val="24"/>
          <w:szCs w:val="24"/>
        </w:rPr>
      </w:pPr>
      <w:r w:rsidRPr="005A0BEA">
        <w:rPr>
          <w:rFonts w:eastAsia="Times New Roman"/>
          <w:sz w:val="24"/>
          <w:szCs w:val="24"/>
        </w:rPr>
        <w:tab/>
        <w:t>I hereby certify that a copy of the above was mailed or electronically delivered as of the date hereof to all counsel and pro se parties of record, and that written consent for electronic delivery was received from all counsel and pro se parties of record who were electronically served, as follows:</w:t>
      </w:r>
    </w:p>
    <w:p w14:paraId="3C71136E" w14:textId="77777777" w:rsidR="005A0BEA" w:rsidRPr="005A0BEA" w:rsidRDefault="005A0BEA" w:rsidP="005A0BEA">
      <w:pPr>
        <w:rPr>
          <w:rFonts w:eastAsia="Times New Roman"/>
          <w:sz w:val="24"/>
          <w:szCs w:val="24"/>
        </w:rPr>
      </w:pPr>
    </w:p>
    <w:p w14:paraId="59032F76" w14:textId="77777777" w:rsidR="005A0BEA" w:rsidRPr="005A0BEA" w:rsidRDefault="005A0BEA" w:rsidP="005A0BEA">
      <w:pPr>
        <w:rPr>
          <w:rFonts w:eastAsia="Arial Unicode MS"/>
          <w:sz w:val="24"/>
          <w:szCs w:val="24"/>
        </w:rPr>
      </w:pPr>
      <w:r w:rsidRPr="005A0BEA">
        <w:rPr>
          <w:rFonts w:eastAsia="Arial Unicode MS"/>
          <w:sz w:val="24"/>
          <w:szCs w:val="24"/>
        </w:rPr>
        <w:t xml:space="preserve">Cramer &amp; Anderson </w:t>
      </w:r>
    </w:p>
    <w:p w14:paraId="6A40AD2A" w14:textId="77777777" w:rsidR="005A0BEA" w:rsidRPr="005A0BEA" w:rsidRDefault="005A0BEA" w:rsidP="005A0BEA">
      <w:pPr>
        <w:rPr>
          <w:rFonts w:eastAsia="Arial Unicode MS"/>
          <w:sz w:val="24"/>
          <w:szCs w:val="24"/>
        </w:rPr>
      </w:pPr>
      <w:r w:rsidRPr="005A0BEA">
        <w:rPr>
          <w:rFonts w:eastAsia="Arial Unicode MS"/>
          <w:sz w:val="24"/>
          <w:szCs w:val="24"/>
        </w:rPr>
        <w:t>46 West Street</w:t>
      </w:r>
    </w:p>
    <w:p w14:paraId="4E40024B" w14:textId="77777777" w:rsidR="005A0BEA" w:rsidRPr="005A0BEA" w:rsidRDefault="005A0BEA" w:rsidP="005A0BEA">
      <w:pPr>
        <w:rPr>
          <w:rFonts w:eastAsia="Arial Unicode MS"/>
          <w:sz w:val="24"/>
          <w:szCs w:val="24"/>
        </w:rPr>
      </w:pPr>
      <w:r w:rsidRPr="005A0BEA">
        <w:rPr>
          <w:rFonts w:eastAsia="Arial Unicode MS"/>
          <w:sz w:val="24"/>
          <w:szCs w:val="24"/>
        </w:rPr>
        <w:t>PO Box 278</w:t>
      </w:r>
    </w:p>
    <w:p w14:paraId="08A4CF84" w14:textId="77777777" w:rsidR="005A0BEA" w:rsidRPr="005A0BEA" w:rsidRDefault="005A0BEA" w:rsidP="005A0BEA">
      <w:pPr>
        <w:rPr>
          <w:rFonts w:eastAsia="Arial Unicode MS"/>
          <w:sz w:val="24"/>
          <w:szCs w:val="24"/>
        </w:rPr>
      </w:pPr>
      <w:r w:rsidRPr="005A0BEA">
        <w:rPr>
          <w:rFonts w:eastAsia="Arial Unicode MS"/>
          <w:sz w:val="24"/>
          <w:szCs w:val="24"/>
        </w:rPr>
        <w:t>Litchfield, CT 06759</w:t>
      </w:r>
    </w:p>
    <w:p w14:paraId="35B9AD61" w14:textId="77777777" w:rsidR="005A0BEA" w:rsidRPr="005A0BEA" w:rsidRDefault="005A0BEA" w:rsidP="005A0BEA">
      <w:pPr>
        <w:rPr>
          <w:rFonts w:eastAsia="Arial Unicode MS"/>
          <w:sz w:val="24"/>
          <w:szCs w:val="24"/>
        </w:rPr>
      </w:pPr>
      <w:r w:rsidRPr="005A0BEA">
        <w:rPr>
          <w:rFonts w:eastAsia="Arial Unicode MS"/>
          <w:sz w:val="24"/>
          <w:szCs w:val="24"/>
        </w:rPr>
        <w:t>E-Mail: kmancini@crameranderson.com</w:t>
      </w:r>
    </w:p>
    <w:p w14:paraId="2F3D4572" w14:textId="77777777" w:rsidR="005A0BEA" w:rsidRPr="005A0BEA" w:rsidRDefault="005A0BEA" w:rsidP="005A0BEA">
      <w:pPr>
        <w:rPr>
          <w:rFonts w:eastAsia="Arial Unicode MS"/>
          <w:sz w:val="24"/>
          <w:szCs w:val="24"/>
        </w:rPr>
      </w:pPr>
    </w:p>
    <w:p w14:paraId="5C9DECC5" w14:textId="77777777" w:rsidR="005A0BEA" w:rsidRPr="005A0BEA" w:rsidRDefault="005A0BEA" w:rsidP="005A0BEA">
      <w:pPr>
        <w:rPr>
          <w:rFonts w:eastAsia="Arial Unicode MS"/>
          <w:sz w:val="24"/>
          <w:szCs w:val="24"/>
        </w:rPr>
      </w:pPr>
      <w:r w:rsidRPr="005A0BEA">
        <w:rPr>
          <w:rFonts w:eastAsia="Arial Unicode MS"/>
          <w:sz w:val="24"/>
          <w:szCs w:val="24"/>
        </w:rPr>
        <w:t>Keith Robert Ainsworth</w:t>
      </w:r>
    </w:p>
    <w:p w14:paraId="319130E9" w14:textId="77777777" w:rsidR="005A0BEA" w:rsidRPr="005A0BEA" w:rsidRDefault="005A0BEA" w:rsidP="005A0BEA">
      <w:pPr>
        <w:rPr>
          <w:rFonts w:eastAsia="Arial Unicode MS"/>
          <w:sz w:val="24"/>
          <w:szCs w:val="24"/>
        </w:rPr>
      </w:pPr>
      <w:r w:rsidRPr="005A0BEA">
        <w:rPr>
          <w:rFonts w:eastAsia="Arial Unicode MS"/>
          <w:sz w:val="24"/>
          <w:szCs w:val="24"/>
        </w:rPr>
        <w:t>51 Elm Street, Suite 201</w:t>
      </w:r>
    </w:p>
    <w:p w14:paraId="2A0E3157" w14:textId="69706907" w:rsidR="005A0BEA" w:rsidRDefault="005A0BEA" w:rsidP="005A0BEA">
      <w:pPr>
        <w:rPr>
          <w:rFonts w:eastAsia="Arial Unicode MS"/>
          <w:sz w:val="24"/>
          <w:szCs w:val="24"/>
        </w:rPr>
      </w:pPr>
      <w:r w:rsidRPr="005A0BEA">
        <w:rPr>
          <w:rFonts w:eastAsia="Arial Unicode MS"/>
          <w:sz w:val="24"/>
          <w:szCs w:val="24"/>
        </w:rPr>
        <w:t>New Haven, CT 06510</w:t>
      </w:r>
    </w:p>
    <w:p w14:paraId="187A1B0B" w14:textId="7026D1D2" w:rsidR="009C0DCC" w:rsidRPr="005A0BEA" w:rsidRDefault="009C0DCC" w:rsidP="005A0BEA">
      <w:pPr>
        <w:rPr>
          <w:rFonts w:eastAsia="Arial Unicode MS"/>
          <w:sz w:val="24"/>
          <w:szCs w:val="24"/>
        </w:rPr>
      </w:pPr>
      <w:r>
        <w:rPr>
          <w:rFonts w:eastAsia="Arial Unicode MS"/>
          <w:sz w:val="24"/>
          <w:szCs w:val="24"/>
        </w:rPr>
        <w:t xml:space="preserve">E-Mail: </w:t>
      </w:r>
      <w:r w:rsidRPr="009C0DCC">
        <w:rPr>
          <w:rFonts w:eastAsia="Arial Unicode MS"/>
          <w:sz w:val="24"/>
          <w:szCs w:val="24"/>
        </w:rPr>
        <w:t>keithrainsworth@live.com</w:t>
      </w:r>
    </w:p>
    <w:p w14:paraId="7D879026" w14:textId="77777777" w:rsidR="005A0BEA" w:rsidRPr="005A0BEA" w:rsidRDefault="005A0BEA" w:rsidP="005A0BEA">
      <w:pPr>
        <w:rPr>
          <w:rFonts w:eastAsia="Arial Unicode MS"/>
          <w:sz w:val="24"/>
          <w:szCs w:val="24"/>
        </w:rPr>
      </w:pPr>
    </w:p>
    <w:p w14:paraId="54B1EED3" w14:textId="77777777" w:rsidR="005A0BEA" w:rsidRPr="005A0BEA" w:rsidRDefault="005A0BEA" w:rsidP="005A0BEA">
      <w:pPr>
        <w:rPr>
          <w:rFonts w:eastAsia="Arial Unicode MS"/>
          <w:sz w:val="24"/>
          <w:szCs w:val="24"/>
        </w:rPr>
      </w:pPr>
      <w:r w:rsidRPr="005A0BEA">
        <w:rPr>
          <w:rFonts w:eastAsia="Arial Unicode MS"/>
          <w:sz w:val="24"/>
          <w:szCs w:val="24"/>
        </w:rPr>
        <w:t>Gordon &amp; Rees LLP</w:t>
      </w:r>
    </w:p>
    <w:p w14:paraId="4923F995" w14:textId="77777777" w:rsidR="005A0BEA" w:rsidRPr="005A0BEA" w:rsidRDefault="005A0BEA" w:rsidP="005A0BEA">
      <w:pPr>
        <w:rPr>
          <w:rFonts w:eastAsia="Arial Unicode MS"/>
          <w:sz w:val="24"/>
          <w:szCs w:val="24"/>
        </w:rPr>
      </w:pPr>
      <w:r w:rsidRPr="005A0BEA">
        <w:rPr>
          <w:rFonts w:eastAsia="Arial Unicode MS"/>
          <w:sz w:val="24"/>
          <w:szCs w:val="24"/>
        </w:rPr>
        <w:t>95 Glastonbury Boulevard, Suite 206</w:t>
      </w:r>
    </w:p>
    <w:p w14:paraId="042A964F" w14:textId="77777777" w:rsidR="005A0BEA" w:rsidRPr="005A0BEA" w:rsidRDefault="005A0BEA" w:rsidP="005A0BEA">
      <w:pPr>
        <w:rPr>
          <w:rFonts w:eastAsia="Arial Unicode MS"/>
          <w:sz w:val="24"/>
          <w:szCs w:val="24"/>
        </w:rPr>
      </w:pPr>
      <w:r w:rsidRPr="005A0BEA">
        <w:rPr>
          <w:rFonts w:eastAsia="Arial Unicode MS"/>
          <w:sz w:val="24"/>
          <w:szCs w:val="24"/>
        </w:rPr>
        <w:t>Glastonbury, CT 06033</w:t>
      </w:r>
    </w:p>
    <w:p w14:paraId="70D50B9E" w14:textId="77777777" w:rsidR="005A0BEA" w:rsidRPr="005A0BEA" w:rsidRDefault="005A0BEA" w:rsidP="005A0BEA">
      <w:pPr>
        <w:rPr>
          <w:rFonts w:eastAsia="Arial Unicode MS"/>
          <w:sz w:val="24"/>
          <w:szCs w:val="24"/>
        </w:rPr>
      </w:pPr>
      <w:r w:rsidRPr="005A0BEA">
        <w:rPr>
          <w:rFonts w:eastAsia="Arial Unicode MS"/>
          <w:sz w:val="24"/>
          <w:szCs w:val="24"/>
        </w:rPr>
        <w:t>E-Mail: tblatchley@grsm.com</w:t>
      </w:r>
    </w:p>
    <w:p w14:paraId="382BB212" w14:textId="748AA17E" w:rsidR="005A0BEA" w:rsidRPr="005A0BEA" w:rsidRDefault="005A0BEA" w:rsidP="005A0BEA">
      <w:pPr>
        <w:tabs>
          <w:tab w:val="left" w:pos="4101"/>
        </w:tabs>
        <w:rPr>
          <w:rFonts w:eastAsia="Arial Unicode MS"/>
          <w:sz w:val="24"/>
          <w:szCs w:val="24"/>
        </w:rPr>
      </w:pPr>
      <w:r>
        <w:rPr>
          <w:rFonts w:eastAsia="Arial Unicode MS"/>
          <w:sz w:val="24"/>
          <w:szCs w:val="24"/>
        </w:rPr>
        <w:tab/>
      </w:r>
    </w:p>
    <w:p w14:paraId="7F5B382C" w14:textId="77777777" w:rsidR="005A0BEA" w:rsidRPr="005A0BEA" w:rsidRDefault="005A0BEA" w:rsidP="005A0BEA">
      <w:pPr>
        <w:rPr>
          <w:rFonts w:eastAsia="Arial Unicode MS"/>
          <w:sz w:val="24"/>
          <w:szCs w:val="24"/>
        </w:rPr>
      </w:pPr>
      <w:r w:rsidRPr="005A0BEA">
        <w:rPr>
          <w:rFonts w:eastAsia="Arial Unicode MS"/>
          <w:sz w:val="24"/>
          <w:szCs w:val="24"/>
        </w:rPr>
        <w:t>Frank Joseph Garofalo III</w:t>
      </w:r>
    </w:p>
    <w:p w14:paraId="6986F5CE" w14:textId="77777777" w:rsidR="005A0BEA" w:rsidRPr="005A0BEA" w:rsidRDefault="005A0BEA" w:rsidP="005A0BEA">
      <w:pPr>
        <w:rPr>
          <w:rFonts w:eastAsia="Arial Unicode MS"/>
          <w:sz w:val="24"/>
          <w:szCs w:val="24"/>
        </w:rPr>
      </w:pPr>
      <w:r w:rsidRPr="005A0BEA">
        <w:rPr>
          <w:rFonts w:eastAsia="Arial Unicode MS"/>
          <w:sz w:val="24"/>
          <w:szCs w:val="24"/>
        </w:rPr>
        <w:t>AG- Public Safety</w:t>
      </w:r>
    </w:p>
    <w:p w14:paraId="7990C98E" w14:textId="77777777" w:rsidR="005A0BEA" w:rsidRPr="005A0BEA" w:rsidRDefault="005A0BEA" w:rsidP="005A0BEA">
      <w:pPr>
        <w:rPr>
          <w:rFonts w:eastAsia="Arial Unicode MS"/>
          <w:sz w:val="24"/>
          <w:szCs w:val="24"/>
        </w:rPr>
      </w:pPr>
      <w:r w:rsidRPr="005A0BEA">
        <w:rPr>
          <w:rFonts w:eastAsia="Arial Unicode MS"/>
          <w:sz w:val="24"/>
          <w:szCs w:val="24"/>
        </w:rPr>
        <w:t>110 Sherman St, 2</w:t>
      </w:r>
      <w:r w:rsidRPr="005A0BEA">
        <w:rPr>
          <w:rFonts w:eastAsia="Arial Unicode MS"/>
          <w:sz w:val="24"/>
          <w:szCs w:val="24"/>
          <w:vertAlign w:val="superscript"/>
        </w:rPr>
        <w:t>nd</w:t>
      </w:r>
      <w:r w:rsidRPr="005A0BEA">
        <w:rPr>
          <w:rFonts w:eastAsia="Arial Unicode MS"/>
          <w:sz w:val="24"/>
          <w:szCs w:val="24"/>
        </w:rPr>
        <w:t xml:space="preserve"> </w:t>
      </w:r>
      <w:proofErr w:type="gramStart"/>
      <w:r w:rsidRPr="005A0BEA">
        <w:rPr>
          <w:rFonts w:eastAsia="Arial Unicode MS"/>
          <w:sz w:val="24"/>
          <w:szCs w:val="24"/>
        </w:rPr>
        <w:t>Floor</w:t>
      </w:r>
      <w:proofErr w:type="gramEnd"/>
    </w:p>
    <w:p w14:paraId="4291581A" w14:textId="77777777" w:rsidR="005A0BEA" w:rsidRPr="005A0BEA" w:rsidRDefault="005A0BEA" w:rsidP="005A0BEA">
      <w:pPr>
        <w:rPr>
          <w:rFonts w:eastAsia="Arial Unicode MS"/>
          <w:sz w:val="24"/>
          <w:szCs w:val="24"/>
        </w:rPr>
      </w:pPr>
      <w:r w:rsidRPr="005A0BEA">
        <w:rPr>
          <w:rFonts w:eastAsia="Arial Unicode MS"/>
          <w:sz w:val="24"/>
          <w:szCs w:val="24"/>
        </w:rPr>
        <w:t>Hartford, CT 06106</w:t>
      </w:r>
    </w:p>
    <w:p w14:paraId="5CEDBFAD" w14:textId="77777777" w:rsidR="005A0BEA" w:rsidRPr="005A0BEA" w:rsidRDefault="005A0BEA" w:rsidP="005A0BEA">
      <w:pPr>
        <w:rPr>
          <w:rFonts w:eastAsia="Times New Roman"/>
          <w:sz w:val="24"/>
          <w:szCs w:val="24"/>
        </w:rPr>
      </w:pPr>
      <w:r w:rsidRPr="005A0BEA">
        <w:rPr>
          <w:rFonts w:eastAsia="Arial Unicode MS"/>
          <w:sz w:val="24"/>
          <w:szCs w:val="24"/>
        </w:rPr>
        <w:t>E-Mail:  frank.garofalo@ct.gov</w:t>
      </w:r>
    </w:p>
    <w:p w14:paraId="27DF2EB5" w14:textId="77777777" w:rsidR="005A0BEA" w:rsidRPr="005A0BEA" w:rsidRDefault="005A0BEA" w:rsidP="005A0BEA">
      <w:pPr>
        <w:tabs>
          <w:tab w:val="left" w:pos="-720"/>
        </w:tabs>
        <w:suppressAutoHyphens/>
        <w:rPr>
          <w:rFonts w:eastAsia="Times New Roman"/>
          <w:sz w:val="24"/>
          <w:szCs w:val="24"/>
        </w:rPr>
      </w:pPr>
    </w:p>
    <w:p w14:paraId="380FADF2" w14:textId="77777777" w:rsidR="005A0BEA" w:rsidRPr="005A0BEA" w:rsidRDefault="005A0BEA" w:rsidP="005A0BEA">
      <w:pPr>
        <w:tabs>
          <w:tab w:val="left" w:pos="-72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u w:val="single"/>
        </w:rPr>
        <w:t xml:space="preserve">/s/ Philip C. Pires </w:t>
      </w:r>
      <w:r w:rsidRPr="005A0BEA">
        <w:rPr>
          <w:rFonts w:eastAsia="Times New Roman"/>
          <w:sz w:val="24"/>
          <w:szCs w:val="24"/>
          <w:u w:val="single"/>
        </w:rPr>
        <w:tab/>
      </w:r>
      <w:r w:rsidRPr="005A0BEA">
        <w:rPr>
          <w:rFonts w:eastAsia="Times New Roman"/>
          <w:sz w:val="24"/>
          <w:szCs w:val="24"/>
          <w:u w:val="single"/>
        </w:rPr>
        <w:tab/>
      </w:r>
    </w:p>
    <w:p w14:paraId="4C90EEBC" w14:textId="77777777" w:rsidR="005A0BEA" w:rsidRPr="005A0BEA" w:rsidRDefault="005A0BEA" w:rsidP="005A0BEA">
      <w:pPr>
        <w:tabs>
          <w:tab w:val="left" w:pos="-720"/>
        </w:tabs>
        <w:suppressAutoHyphens/>
        <w:rPr>
          <w:rFonts w:eastAsia="Times New Roman"/>
          <w:sz w:val="24"/>
          <w:szCs w:val="24"/>
        </w:rPr>
      </w:pP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r>
      <w:r w:rsidRPr="005A0BEA">
        <w:rPr>
          <w:rFonts w:eastAsia="Times New Roman"/>
          <w:sz w:val="24"/>
          <w:szCs w:val="24"/>
        </w:rPr>
        <w:tab/>
        <w:t>Philip C. Pires, Esq.</w:t>
      </w:r>
    </w:p>
    <w:p w14:paraId="14968F08" w14:textId="77777777" w:rsidR="005A0BEA" w:rsidRPr="005A0BEA" w:rsidRDefault="005A0BEA" w:rsidP="005A0BEA">
      <w:pPr>
        <w:spacing w:before="280" w:line="480" w:lineRule="auto"/>
        <w:ind w:firstLine="720"/>
        <w:textAlignment w:val="baseline"/>
        <w:rPr>
          <w:rFonts w:eastAsia="Times New Roman"/>
          <w:color w:val="000000"/>
          <w:spacing w:val="2"/>
          <w:sz w:val="24"/>
          <w:szCs w:val="24"/>
        </w:rPr>
      </w:pPr>
    </w:p>
    <w:sectPr w:rsidR="005A0BEA" w:rsidRPr="005A0BEA">
      <w:pgSz w:w="12240" w:h="15840"/>
      <w:pgMar w:top="1720" w:right="1493" w:bottom="1148"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32C3"/>
    <w:multiLevelType w:val="multilevel"/>
    <w:tmpl w:val="F8A69946"/>
    <w:lvl w:ilvl="0">
      <w:start w:val="1"/>
      <w:numFmt w:val="decimal"/>
      <w:lvlText w:val="%1."/>
      <w:lvlJc w:val="left"/>
      <w:pPr>
        <w:tabs>
          <w:tab w:val="left" w:pos="360"/>
        </w:tabs>
      </w:pPr>
      <w:rPr>
        <w:rFonts w:ascii="Times New Roman" w:eastAsia="Arial" w:hAnsi="Times New Roman" w:cs="Times New Roman" w:hint="default"/>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021B4"/>
    <w:multiLevelType w:val="multilevel"/>
    <w:tmpl w:val="56B8437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2671A"/>
    <w:multiLevelType w:val="multilevel"/>
    <w:tmpl w:val="3CAABAC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285C6C"/>
    <w:multiLevelType w:val="hybridMultilevel"/>
    <w:tmpl w:val="7EA4D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445546">
    <w:abstractNumId w:val="2"/>
  </w:num>
  <w:num w:numId="2" w16cid:durableId="520779926">
    <w:abstractNumId w:val="1"/>
  </w:num>
  <w:num w:numId="3" w16cid:durableId="1769352821">
    <w:abstractNumId w:val="0"/>
  </w:num>
  <w:num w:numId="4" w16cid:durableId="35674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E"/>
    <w:rsid w:val="000440B0"/>
    <w:rsid w:val="00057580"/>
    <w:rsid w:val="00424F48"/>
    <w:rsid w:val="005A0BEA"/>
    <w:rsid w:val="005D3E70"/>
    <w:rsid w:val="00601379"/>
    <w:rsid w:val="00604692"/>
    <w:rsid w:val="00614CF5"/>
    <w:rsid w:val="00721323"/>
    <w:rsid w:val="00842201"/>
    <w:rsid w:val="008A1711"/>
    <w:rsid w:val="009C0DCC"/>
    <w:rsid w:val="00B4142B"/>
    <w:rsid w:val="00BB5C70"/>
    <w:rsid w:val="00CD5F8E"/>
    <w:rsid w:val="00D9433B"/>
    <w:rsid w:val="00D950F3"/>
    <w:rsid w:val="00DA46E4"/>
    <w:rsid w:val="00DB4F4C"/>
    <w:rsid w:val="00E72096"/>
    <w:rsid w:val="00EF7C55"/>
    <w:rsid w:val="00FA4A28"/>
    <w:rsid w:val="00FA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50FFC"/>
  <w15:docId w15:val="{7D6035FE-305A-4564-99DB-881C21BA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F48"/>
    <w:pPr>
      <w:ind w:left="720"/>
      <w:contextualSpacing/>
    </w:pPr>
  </w:style>
  <w:style w:type="paragraph" w:styleId="NoSpacing">
    <w:name w:val="No Spacing"/>
    <w:uiPriority w:val="1"/>
    <w:qFormat/>
    <w:rsid w:val="005A0BEA"/>
  </w:style>
  <w:style w:type="paragraph" w:styleId="Revision">
    <w:name w:val="Revision"/>
    <w:hidden/>
    <w:uiPriority w:val="99"/>
    <w:semiHidden/>
    <w:rsid w:val="00D9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14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1032</Words>
  <Characters>5367</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Pires, Philip C.</dc:creator>
  <cp:lastModifiedBy>Pires, Philip C.</cp:lastModifiedBy>
  <cp:revision>5</cp:revision>
  <dcterms:created xsi:type="dcterms:W3CDTF">2024-04-08T20:25:00Z</dcterms:created>
  <dcterms:modified xsi:type="dcterms:W3CDTF">2024-04-23T15:30:00Z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8ecd4ae118af701d1d7073e672d53fe40af54ecdc162b12fb351a4cdcbf72e6f</vt:lpwstr>
  </property>
</Properties>
</file>